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E7" w:rsidRDefault="00A57E07" w:rsidP="004F5CC9">
      <w:pPr>
        <w:pStyle w:val="Titolo1"/>
      </w:pPr>
      <w:r>
        <w:t>Breve quadro normativo</w:t>
      </w:r>
      <w:r w:rsidR="00632C99">
        <w:t xml:space="preserve"> sull’Open Access</w:t>
      </w:r>
    </w:p>
    <w:p w:rsidR="004F5CC9" w:rsidRDefault="004F5CC9" w:rsidP="006215E7">
      <w:pPr>
        <w:rPr>
          <w:rStyle w:val="Riferimentodelicato"/>
          <w:b/>
          <w:sz w:val="24"/>
          <w:szCs w:val="24"/>
        </w:rPr>
      </w:pPr>
    </w:p>
    <w:p w:rsidR="006215E7" w:rsidRPr="004F5CC9" w:rsidRDefault="006215E7" w:rsidP="006215E7">
      <w:pPr>
        <w:rPr>
          <w:rStyle w:val="Riferimentodelicato"/>
          <w:b/>
          <w:sz w:val="24"/>
          <w:szCs w:val="24"/>
        </w:rPr>
      </w:pPr>
      <w:r w:rsidRPr="004F5CC9">
        <w:rPr>
          <w:rStyle w:val="Riferimentodelicato"/>
          <w:b/>
          <w:sz w:val="24"/>
          <w:szCs w:val="24"/>
        </w:rPr>
        <w:t>In Europa</w:t>
      </w:r>
    </w:p>
    <w:p w:rsidR="006215E7" w:rsidRPr="006215E7" w:rsidRDefault="006215E7" w:rsidP="0055491F">
      <w:pPr>
        <w:jc w:val="both"/>
      </w:pPr>
      <w:r w:rsidRPr="006215E7">
        <w:t>Da anni l’Unione Europea manifesta attenzione alle tematiche dell'accesso aperto alla conoscenza sia attraverso Raccomandazioni e linee guida sia attraverso Programmi di finanziamento che legano i progetti di ricerca al deposito degli articoli su archivi aperti (</w:t>
      </w:r>
      <w:r w:rsidRPr="006215E7">
        <w:rPr>
          <w:u w:val="single"/>
        </w:rPr>
        <w:t>vedi Horizon 2020, Horizon Europe</w:t>
      </w:r>
      <w:r w:rsidRPr="006215E7">
        <w:t>)</w:t>
      </w:r>
    </w:p>
    <w:p w:rsidR="006215E7" w:rsidRPr="006215E7" w:rsidRDefault="006215E7" w:rsidP="0055491F">
      <w:pPr>
        <w:jc w:val="both"/>
      </w:pPr>
      <w:r w:rsidRPr="006215E7">
        <w:rPr>
          <w:b/>
          <w:bCs/>
          <w:u w:val="single"/>
        </w:rPr>
        <w:t xml:space="preserve">Le Raccomandazioni </w:t>
      </w:r>
      <w:r w:rsidRPr="006215E7">
        <w:rPr>
          <w:u w:val="single"/>
        </w:rPr>
        <w:t xml:space="preserve">sull'accesso all'informazione scientifica e sulla sua conservazione </w:t>
      </w:r>
      <w:r w:rsidRPr="006215E7">
        <w:rPr>
          <w:b/>
          <w:bCs/>
          <w:u w:val="single"/>
        </w:rPr>
        <w:t xml:space="preserve"> (25 aprile 2018 )</w:t>
      </w:r>
      <w:r w:rsidRPr="006215E7">
        <w:t xml:space="preserve">, che sostituiscono le Raccomandazioni del 2012,  invitano  gli Stati membri - e per essi gli organismi responsabili della gestione dei finanziamenti pubblici alla ricerca  - a definire  politiche istituzionali per la diffusione, l’accesso aperto delle pubblicazioni scientifiche  e dei dati di ricerca. Si sottolinea inoltre l’importanza della creazione di </w:t>
      </w:r>
      <w:r w:rsidRPr="006215E7">
        <w:rPr>
          <w:b/>
          <w:bCs/>
        </w:rPr>
        <w:t>infrastrutture di ricerca</w:t>
      </w:r>
      <w:r w:rsidRPr="006215E7">
        <w:t xml:space="preserve"> ai fini della conservazione, condivisione  e riutilizzo dell’informazione scientifica; la promozione - a livello anche di  istituzioni accademiche - di </w:t>
      </w:r>
      <w:r w:rsidRPr="006215E7">
        <w:rPr>
          <w:b/>
          <w:bCs/>
        </w:rPr>
        <w:t xml:space="preserve">meccanismi premiali e incentivanti </w:t>
      </w:r>
      <w:r w:rsidRPr="006215E7">
        <w:t xml:space="preserve">a favore della condivisione delle informazioni scientifiche , la pianificazione della </w:t>
      </w:r>
      <w:r w:rsidRPr="006215E7">
        <w:rPr>
          <w:b/>
          <w:bCs/>
        </w:rPr>
        <w:t xml:space="preserve">gestione di dati </w:t>
      </w:r>
      <w:r w:rsidRPr="006215E7">
        <w:t>come pratica scientifica standard sin dalle prime fasi del processo di ricerca.</w:t>
      </w:r>
    </w:p>
    <w:p w:rsidR="006215E7" w:rsidRPr="004F5CC9" w:rsidRDefault="006215E7" w:rsidP="0055491F">
      <w:pPr>
        <w:jc w:val="both"/>
        <w:rPr>
          <w:rStyle w:val="Riferimentodelicato"/>
          <w:b/>
          <w:sz w:val="24"/>
          <w:szCs w:val="24"/>
        </w:rPr>
      </w:pPr>
      <w:r w:rsidRPr="004F5CC9">
        <w:rPr>
          <w:rStyle w:val="Riferimentodelicato"/>
          <w:b/>
          <w:sz w:val="24"/>
          <w:szCs w:val="24"/>
        </w:rPr>
        <w:t>In Italia</w:t>
      </w:r>
    </w:p>
    <w:p w:rsidR="006215E7" w:rsidRPr="006215E7" w:rsidRDefault="006215E7" w:rsidP="0055491F">
      <w:pPr>
        <w:jc w:val="both"/>
      </w:pPr>
      <w:r w:rsidRPr="006215E7">
        <w:rPr>
          <w:b/>
          <w:bCs/>
          <w:u w:val="single"/>
        </w:rPr>
        <w:t>La legge</w:t>
      </w:r>
      <w:r w:rsidR="0055491F">
        <w:rPr>
          <w:b/>
          <w:bCs/>
          <w:u w:val="single"/>
        </w:rPr>
        <w:t xml:space="preserve"> </w:t>
      </w:r>
      <w:r w:rsidRPr="006215E7">
        <w:rPr>
          <w:b/>
          <w:bCs/>
          <w:u w:val="single"/>
        </w:rPr>
        <w:t xml:space="preserve">7 ottobre 2013, n. 112 </w:t>
      </w:r>
      <w:r w:rsidRPr="006215E7">
        <w:rPr>
          <w:b/>
          <w:bCs/>
        </w:rPr>
        <w:t>(</w:t>
      </w:r>
      <w:r w:rsidRPr="006215E7">
        <w:t>di</w:t>
      </w:r>
      <w:r w:rsidRPr="006215E7">
        <w:rPr>
          <w:b/>
          <w:bCs/>
        </w:rPr>
        <w:t xml:space="preserve"> </w:t>
      </w:r>
      <w:r w:rsidRPr="006215E7">
        <w:t xml:space="preserve">conversione del </w:t>
      </w:r>
      <w:r w:rsidRPr="006215E7">
        <w:rPr>
          <w:b/>
          <w:bCs/>
        </w:rPr>
        <w:t>decreto-legge 8 agosto 2013, n. 91</w:t>
      </w:r>
      <w:r w:rsidRPr="006215E7">
        <w:t xml:space="preserve">, </w:t>
      </w:r>
      <w:r w:rsidRPr="006215E7">
        <w:rPr>
          <w:i/>
          <w:iCs/>
        </w:rPr>
        <w:t>Disposizioni urgenti per la tutela, la valorizzazione e il rilancio dei beni e delle attività culturali e del turismo</w:t>
      </w:r>
      <w:r w:rsidRPr="006215E7">
        <w:t>)</w:t>
      </w:r>
      <w:r w:rsidRPr="006215E7">
        <w:rPr>
          <w:b/>
          <w:bCs/>
        </w:rPr>
        <w:t xml:space="preserve"> </w:t>
      </w:r>
      <w:r w:rsidRPr="006215E7">
        <w:t xml:space="preserve">offre una prima risposta ufficiale alla disciplina dell’accesso aperto, prendendo in considerazione i risultati della ricerca finanziata per almeno il 50% con fondi pubblici. </w:t>
      </w:r>
      <w:r w:rsidRPr="006215E7">
        <w:rPr>
          <w:b/>
          <w:bCs/>
        </w:rPr>
        <w:t xml:space="preserve">L’art. 4 </w:t>
      </w:r>
      <w:r w:rsidRPr="006215E7">
        <w:t>dispone l’obbligo di OA per articoli su riviste scientifiche con almeno due uscite annue e indica rispettivamente in 18/24 mesi i periodi di embarg</w:t>
      </w:r>
      <w:r w:rsidR="004F5CC9">
        <w:t>o per le aree disciplinari STEM</w:t>
      </w:r>
      <w:bookmarkStart w:id="0" w:name="_GoBack"/>
      <w:bookmarkEnd w:id="0"/>
      <w:r w:rsidRPr="006215E7">
        <w:t xml:space="preserve"> e q</w:t>
      </w:r>
      <w:r w:rsidR="00CC7F91">
        <w:t>uelle umanistiche.</w:t>
      </w:r>
    </w:p>
    <w:p w:rsidR="00CC7F91" w:rsidRDefault="00CC7F91" w:rsidP="0055491F">
      <w:pPr>
        <w:jc w:val="both"/>
      </w:pPr>
      <w:hyperlink r:id="rId4" w:history="1">
        <w:r w:rsidR="006215E7" w:rsidRPr="00CC7F91">
          <w:rPr>
            <w:rStyle w:val="Collegamentoipertestuale"/>
            <w:b/>
            <w:bCs/>
          </w:rPr>
          <w:t xml:space="preserve">I disegni di legge </w:t>
        </w:r>
        <w:proofErr w:type="spellStart"/>
        <w:r w:rsidR="006215E7" w:rsidRPr="00CC7F91">
          <w:rPr>
            <w:rStyle w:val="Collegamentoipertestuale"/>
            <w:b/>
            <w:bCs/>
          </w:rPr>
          <w:t>nn</w:t>
        </w:r>
        <w:proofErr w:type="spellEnd"/>
        <w:r w:rsidR="006215E7" w:rsidRPr="00CC7F91">
          <w:rPr>
            <w:rStyle w:val="Collegamentoipertestuale"/>
            <w:b/>
            <w:bCs/>
          </w:rPr>
          <w:t>. 1146 e 647</w:t>
        </w:r>
      </w:hyperlink>
      <w:r w:rsidR="006215E7" w:rsidRPr="006215E7">
        <w:t xml:space="preserve">, assegnati in sede redigente alla  7ª </w:t>
      </w:r>
      <w:r w:rsidR="006215E7" w:rsidRPr="006215E7">
        <w:rPr>
          <w:i/>
          <w:iCs/>
        </w:rPr>
        <w:t>Commissione</w:t>
      </w:r>
      <w:r w:rsidR="006215E7" w:rsidRPr="006215E7">
        <w:t xml:space="preserve"> permanente (Istruzione pubblica, beni culturali), propongono modifiche all’art 4 della L. 112 con l’ intento di rafforzare le politiche di accesso aperto e  di allinearsi alle più recenti Raccomandazioni della Commissione Europea. Sulla base di  osservazioni presentate dall’Associazione Italiana per la promozione della Scienza Aperta (</w:t>
      </w:r>
      <w:r w:rsidR="006215E7" w:rsidRPr="006215E7">
        <w:rPr>
          <w:u w:val="single"/>
        </w:rPr>
        <w:t>AISA</w:t>
      </w:r>
      <w:r w:rsidR="006215E7" w:rsidRPr="006215E7">
        <w:t>), il disegno di legge 1146 prevede anche una modifica alla legge che regola il diritto d’autore (L.  633/41), volta a riconoscere un diritto di “ripubblicazione” (cioè di messa a disposizione del pubblico) in accesso aperto dei prodotti scientifici, secondo quanto già sancito da alcuni modelli legislativi europei.</w:t>
      </w:r>
    </w:p>
    <w:p w:rsidR="004F5CC9" w:rsidRPr="006215E7" w:rsidRDefault="004F5CC9" w:rsidP="0055491F">
      <w:pPr>
        <w:jc w:val="both"/>
      </w:pPr>
    </w:p>
    <w:p w:rsidR="006215E7" w:rsidRPr="004F5CC9" w:rsidRDefault="006215E7" w:rsidP="0055491F">
      <w:pPr>
        <w:jc w:val="both"/>
        <w:rPr>
          <w:rStyle w:val="Riferimentodelicato"/>
          <w:b/>
          <w:sz w:val="24"/>
          <w:szCs w:val="24"/>
        </w:rPr>
      </w:pPr>
      <w:r w:rsidRPr="004F5CC9">
        <w:rPr>
          <w:rStyle w:val="Riferimentodelicato"/>
          <w:b/>
          <w:sz w:val="24"/>
          <w:szCs w:val="24"/>
        </w:rPr>
        <w:t xml:space="preserve">Le </w:t>
      </w:r>
      <w:proofErr w:type="gramStart"/>
      <w:r w:rsidR="0055491F" w:rsidRPr="004F5CC9">
        <w:rPr>
          <w:rStyle w:val="Riferimentodelicato"/>
          <w:b/>
          <w:sz w:val="24"/>
          <w:szCs w:val="24"/>
        </w:rPr>
        <w:t>D</w:t>
      </w:r>
      <w:r w:rsidRPr="004F5CC9">
        <w:rPr>
          <w:rStyle w:val="Riferimentodelicato"/>
          <w:b/>
          <w:sz w:val="24"/>
          <w:szCs w:val="24"/>
        </w:rPr>
        <w:t>ichiar</w:t>
      </w:r>
      <w:r w:rsidR="00CC7F91" w:rsidRPr="004F5CC9">
        <w:rPr>
          <w:rStyle w:val="Riferimentodelicato"/>
          <w:b/>
          <w:sz w:val="24"/>
          <w:szCs w:val="24"/>
        </w:rPr>
        <w:t>a</w:t>
      </w:r>
      <w:r w:rsidRPr="004F5CC9">
        <w:rPr>
          <w:rStyle w:val="Riferimentodelicato"/>
          <w:b/>
          <w:sz w:val="24"/>
          <w:szCs w:val="24"/>
        </w:rPr>
        <w:t xml:space="preserve">zioni  </w:t>
      </w:r>
      <w:proofErr w:type="spellStart"/>
      <w:r w:rsidRPr="004F5CC9">
        <w:rPr>
          <w:rStyle w:val="Riferimentodelicato"/>
          <w:b/>
          <w:sz w:val="24"/>
          <w:szCs w:val="24"/>
        </w:rPr>
        <w:t>fondative</w:t>
      </w:r>
      <w:proofErr w:type="spellEnd"/>
      <w:proofErr w:type="gramEnd"/>
      <w:r w:rsidRPr="004F5CC9">
        <w:rPr>
          <w:rStyle w:val="Riferimentodelicato"/>
          <w:b/>
          <w:sz w:val="24"/>
          <w:szCs w:val="24"/>
        </w:rPr>
        <w:t xml:space="preserve"> del movimento internazionale dell’Open Access</w:t>
      </w:r>
    </w:p>
    <w:p w:rsidR="006215E7" w:rsidRPr="006215E7" w:rsidRDefault="006215E7" w:rsidP="0055491F">
      <w:pPr>
        <w:jc w:val="both"/>
      </w:pPr>
      <w:r w:rsidRPr="00632C99">
        <w:rPr>
          <w:b/>
          <w:bCs/>
          <w:u w:val="single"/>
        </w:rPr>
        <w:t>Budapest O</w:t>
      </w:r>
      <w:r w:rsidRPr="00632C99">
        <w:rPr>
          <w:b/>
          <w:bCs/>
          <w:i/>
          <w:iCs/>
          <w:u w:val="single"/>
        </w:rPr>
        <w:t xml:space="preserve">pen Access </w:t>
      </w:r>
      <w:proofErr w:type="spellStart"/>
      <w:r w:rsidRPr="00632C99">
        <w:rPr>
          <w:b/>
          <w:bCs/>
          <w:i/>
          <w:iCs/>
          <w:u w:val="single"/>
        </w:rPr>
        <w:t>Initiative</w:t>
      </w:r>
      <w:proofErr w:type="spellEnd"/>
      <w:r w:rsidRPr="00632C99">
        <w:rPr>
          <w:u w:val="single"/>
        </w:rPr>
        <w:t xml:space="preserve"> </w:t>
      </w:r>
      <w:r w:rsidR="00B5208A">
        <w:t>(febbraio 2002):</w:t>
      </w:r>
      <w:r w:rsidR="00CC7F91">
        <w:t xml:space="preserve"> p</w:t>
      </w:r>
      <w:r w:rsidRPr="006215E7">
        <w:t xml:space="preserve">rimo raduno storico di fondazione dell’Open </w:t>
      </w:r>
      <w:proofErr w:type="spellStart"/>
      <w:r w:rsidRPr="006215E7">
        <w:t>Acces</w:t>
      </w:r>
      <w:proofErr w:type="spellEnd"/>
      <w:r w:rsidRPr="006215E7">
        <w:t>. Vengono individuate le due strategie per  la realizzazione dell’Open Access (</w:t>
      </w:r>
      <w:proofErr w:type="spellStart"/>
      <w:r w:rsidRPr="006215E7">
        <w:t>SelfArchiving</w:t>
      </w:r>
      <w:proofErr w:type="spellEnd"/>
      <w:r w:rsidRPr="006215E7">
        <w:t xml:space="preserve"> e gli Open-Access Journals.</w:t>
      </w:r>
    </w:p>
    <w:p w:rsidR="006215E7" w:rsidRPr="006215E7" w:rsidRDefault="006215E7" w:rsidP="0055491F">
      <w:pPr>
        <w:jc w:val="both"/>
      </w:pPr>
      <w:r w:rsidRPr="00632C99">
        <w:rPr>
          <w:b/>
          <w:bCs/>
          <w:u w:val="single"/>
        </w:rPr>
        <w:t xml:space="preserve">Bethesda statement on open </w:t>
      </w:r>
      <w:proofErr w:type="spellStart"/>
      <w:r w:rsidRPr="00632C99">
        <w:rPr>
          <w:b/>
          <w:bCs/>
          <w:u w:val="single"/>
        </w:rPr>
        <w:t>access</w:t>
      </w:r>
      <w:proofErr w:type="spellEnd"/>
      <w:r w:rsidRPr="00632C99">
        <w:rPr>
          <w:b/>
          <w:bCs/>
          <w:u w:val="single"/>
        </w:rPr>
        <w:t xml:space="preserve"> </w:t>
      </w:r>
      <w:proofErr w:type="spellStart"/>
      <w:r w:rsidRPr="00632C99">
        <w:rPr>
          <w:b/>
          <w:bCs/>
          <w:u w:val="single"/>
        </w:rPr>
        <w:t>publishing</w:t>
      </w:r>
      <w:proofErr w:type="spellEnd"/>
      <w:r w:rsidRPr="00632C99">
        <w:rPr>
          <w:b/>
          <w:bCs/>
          <w:u w:val="single"/>
        </w:rPr>
        <w:t xml:space="preserve"> </w:t>
      </w:r>
      <w:r w:rsidR="00B5208A">
        <w:t>(giugno 2003)</w:t>
      </w:r>
      <w:r w:rsidRPr="00632C99">
        <w:t>: afferma il</w:t>
      </w:r>
      <w:r w:rsidRPr="006215E7">
        <w:t xml:space="preserve"> sostegno dell’accesso aperto della letteratura scientifica in </w:t>
      </w:r>
      <w:proofErr w:type="gramStart"/>
      <w:r w:rsidRPr="006215E7">
        <w:t>ambito  biomedico</w:t>
      </w:r>
      <w:proofErr w:type="gramEnd"/>
    </w:p>
    <w:p w:rsidR="006215E7" w:rsidRPr="006215E7" w:rsidRDefault="006215E7" w:rsidP="0055491F">
      <w:pPr>
        <w:jc w:val="both"/>
      </w:pPr>
      <w:proofErr w:type="spellStart"/>
      <w:r w:rsidRPr="00632C99">
        <w:rPr>
          <w:b/>
          <w:bCs/>
          <w:u w:val="single"/>
        </w:rPr>
        <w:t>Berlin</w:t>
      </w:r>
      <w:proofErr w:type="spellEnd"/>
      <w:r w:rsidRPr="00632C99">
        <w:rPr>
          <w:b/>
          <w:bCs/>
          <w:u w:val="single"/>
        </w:rPr>
        <w:t xml:space="preserve"> </w:t>
      </w:r>
      <w:proofErr w:type="spellStart"/>
      <w:r w:rsidRPr="00632C99">
        <w:rPr>
          <w:b/>
          <w:bCs/>
          <w:u w:val="single"/>
        </w:rPr>
        <w:t>declaration</w:t>
      </w:r>
      <w:proofErr w:type="spellEnd"/>
      <w:r w:rsidRPr="00632C99">
        <w:rPr>
          <w:b/>
          <w:bCs/>
          <w:u w:val="single"/>
        </w:rPr>
        <w:t xml:space="preserve"> on open </w:t>
      </w:r>
      <w:proofErr w:type="spellStart"/>
      <w:r w:rsidRPr="00632C99">
        <w:rPr>
          <w:b/>
          <w:bCs/>
          <w:u w:val="single"/>
        </w:rPr>
        <w:t>access</w:t>
      </w:r>
      <w:proofErr w:type="spellEnd"/>
      <w:r w:rsidRPr="00632C99">
        <w:rPr>
          <w:b/>
          <w:bCs/>
          <w:u w:val="single"/>
        </w:rPr>
        <w:t xml:space="preserve"> to </w:t>
      </w:r>
      <w:proofErr w:type="spellStart"/>
      <w:r w:rsidRPr="00632C99">
        <w:rPr>
          <w:b/>
          <w:bCs/>
          <w:u w:val="single"/>
        </w:rPr>
        <w:t>knowledge</w:t>
      </w:r>
      <w:proofErr w:type="spellEnd"/>
      <w:r w:rsidRPr="00632C99">
        <w:rPr>
          <w:b/>
          <w:bCs/>
          <w:u w:val="single"/>
        </w:rPr>
        <w:t xml:space="preserve"> in the </w:t>
      </w:r>
      <w:proofErr w:type="spellStart"/>
      <w:r w:rsidRPr="00632C99">
        <w:rPr>
          <w:b/>
          <w:bCs/>
          <w:u w:val="single"/>
        </w:rPr>
        <w:t>sciences</w:t>
      </w:r>
      <w:proofErr w:type="spellEnd"/>
      <w:r w:rsidRPr="00632C99">
        <w:rPr>
          <w:b/>
          <w:bCs/>
          <w:u w:val="single"/>
        </w:rPr>
        <w:t xml:space="preserve"> and </w:t>
      </w:r>
      <w:proofErr w:type="spellStart"/>
      <w:r w:rsidRPr="00632C99">
        <w:rPr>
          <w:b/>
          <w:bCs/>
          <w:u w:val="single"/>
        </w:rPr>
        <w:t>humanities</w:t>
      </w:r>
      <w:proofErr w:type="spellEnd"/>
      <w:r w:rsidRPr="00632C99">
        <w:rPr>
          <w:b/>
          <w:bCs/>
          <w:u w:val="single"/>
        </w:rPr>
        <w:t xml:space="preserve"> </w:t>
      </w:r>
      <w:r w:rsidRPr="00632C99">
        <w:t xml:space="preserve">(ottobre 2003): </w:t>
      </w:r>
      <w:r w:rsidRPr="006215E7">
        <w:t xml:space="preserve">firmata da importanti istituzioni pubbliche e private di tutto il mondo, </w:t>
      </w:r>
      <w:r w:rsidRPr="00632C99">
        <w:t xml:space="preserve">rappresenta il </w:t>
      </w:r>
      <w:r w:rsidRPr="006215E7">
        <w:t>nucleo teorico centrale cui fa riferimento ogni successiva iniziativa OA.</w:t>
      </w:r>
    </w:p>
    <w:p w:rsidR="006215E7" w:rsidRDefault="006215E7" w:rsidP="0055491F">
      <w:pPr>
        <w:jc w:val="both"/>
      </w:pPr>
      <w:r w:rsidRPr="006215E7">
        <w:rPr>
          <w:b/>
          <w:bCs/>
          <w:u w:val="single"/>
        </w:rPr>
        <w:t>Dichiarazione di Messina</w:t>
      </w:r>
      <w:r w:rsidRPr="006215E7">
        <w:t>, (novembre 2004) : promossa dalla CRUI , sancisce l’adesione e il sostegno all‘accesso aperto alla letteratura scientifica da parte del sistema universitario italiano.</w:t>
      </w:r>
    </w:p>
    <w:sectPr w:rsidR="006215E7" w:rsidSect="004F5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E7"/>
    <w:rsid w:val="00047B55"/>
    <w:rsid w:val="004F5CC9"/>
    <w:rsid w:val="0055491F"/>
    <w:rsid w:val="006215E7"/>
    <w:rsid w:val="00632C99"/>
    <w:rsid w:val="00A57E07"/>
    <w:rsid w:val="00B5208A"/>
    <w:rsid w:val="00C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2B32"/>
  <w15:chartTrackingRefBased/>
  <w15:docId w15:val="{276689AB-5568-41A1-B28B-4777B583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CC9"/>
  </w:style>
  <w:style w:type="paragraph" w:styleId="Titolo1">
    <w:name w:val="heading 1"/>
    <w:basedOn w:val="Normale"/>
    <w:next w:val="Normale"/>
    <w:link w:val="Titolo1Carattere"/>
    <w:uiPriority w:val="9"/>
    <w:qFormat/>
    <w:rsid w:val="004F5CC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C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C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15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15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08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7F91"/>
    <w:rPr>
      <w:color w:val="954F72" w:themeColor="followedHyperlink"/>
      <w:u w:val="single"/>
    </w:rPr>
  </w:style>
  <w:style w:type="character" w:styleId="Riferimentodelicato">
    <w:name w:val="Subtle Reference"/>
    <w:basedOn w:val="Carpredefinitoparagrafo"/>
    <w:uiPriority w:val="31"/>
    <w:qFormat/>
    <w:rsid w:val="004F5CC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CC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CC9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CC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CC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CC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CC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CC9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CC9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F5CC9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5CC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4F5CC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CC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CC9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5CC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4F5CC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4F5CC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F5CC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5CC9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5CC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5CC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4F5CC9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F5CC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intenso">
    <w:name w:val="Intense Reference"/>
    <w:basedOn w:val="Carpredefinitoparagrafo"/>
    <w:uiPriority w:val="32"/>
    <w:qFormat/>
    <w:rsid w:val="004F5CC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4F5CC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5C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o.it/japp/bgt/showdoc/18/DOSSIER/0/1106931/index.html?part=dossier_dossier1-sezione_sezione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Nevigato</dc:creator>
  <cp:keywords/>
  <dc:description/>
  <cp:lastModifiedBy>Silvia Alessi</cp:lastModifiedBy>
  <cp:revision>7</cp:revision>
  <cp:lastPrinted>2021-07-07T09:56:00Z</cp:lastPrinted>
  <dcterms:created xsi:type="dcterms:W3CDTF">2021-06-07T06:44:00Z</dcterms:created>
  <dcterms:modified xsi:type="dcterms:W3CDTF">2021-07-09T11:41:00Z</dcterms:modified>
</cp:coreProperties>
</file>